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C8" w:rsidRPr="00846AAF" w:rsidRDefault="00E94105" w:rsidP="00941636">
      <w:pPr>
        <w:rPr>
          <w:rFonts w:cs="Arial"/>
          <w:b/>
          <w:sz w:val="28"/>
          <w:szCs w:val="28"/>
          <w:u w:val="single"/>
        </w:rPr>
      </w:pPr>
      <w:r w:rsidRPr="00846AAF">
        <w:rPr>
          <w:rFonts w:cs="Arial"/>
          <w:b/>
          <w:sz w:val="28"/>
          <w:szCs w:val="28"/>
          <w:u w:val="single"/>
        </w:rPr>
        <w:t xml:space="preserve">Appendix </w:t>
      </w:r>
      <w:r w:rsidR="00941636" w:rsidRPr="00846AAF">
        <w:rPr>
          <w:rFonts w:cs="Arial"/>
          <w:b/>
          <w:sz w:val="28"/>
          <w:szCs w:val="28"/>
          <w:u w:val="single"/>
        </w:rPr>
        <w:t>'B'</w:t>
      </w:r>
    </w:p>
    <w:p w:rsidR="009673C8" w:rsidRPr="000975B0" w:rsidRDefault="009673C8" w:rsidP="009673C8">
      <w:pPr>
        <w:pStyle w:val="NoSpacing"/>
        <w:jc w:val="center"/>
        <w:rPr>
          <w:rFonts w:cs="Arial"/>
          <w:b/>
          <w:szCs w:val="24"/>
        </w:rPr>
      </w:pPr>
      <w:r w:rsidRPr="000975B0">
        <w:rPr>
          <w:rFonts w:cs="Arial"/>
          <w:b/>
          <w:szCs w:val="24"/>
        </w:rPr>
        <w:t xml:space="preserve">Health Advisory Group – Terms of Reference </w:t>
      </w:r>
    </w:p>
    <w:p w:rsidR="009673C8" w:rsidRPr="000975B0" w:rsidRDefault="009673C8" w:rsidP="009673C8">
      <w:pPr>
        <w:pStyle w:val="NoSpacing"/>
        <w:jc w:val="both"/>
        <w:rPr>
          <w:rFonts w:cs="Arial"/>
          <w:b/>
          <w:szCs w:val="24"/>
        </w:rPr>
      </w:pPr>
      <w:r w:rsidRPr="000975B0">
        <w:rPr>
          <w:rFonts w:cs="Arial"/>
          <w:b/>
          <w:szCs w:val="24"/>
        </w:rPr>
        <w:t>Aim</w:t>
      </w:r>
    </w:p>
    <w:p w:rsidR="009673C8" w:rsidRPr="000975B0" w:rsidRDefault="009673C8" w:rsidP="009673C8">
      <w:pPr>
        <w:pStyle w:val="NoSpacing"/>
        <w:jc w:val="both"/>
        <w:rPr>
          <w:rFonts w:cs="Arial"/>
          <w:szCs w:val="24"/>
        </w:rPr>
      </w:pPr>
      <w:r w:rsidRPr="000975B0">
        <w:rPr>
          <w:rFonts w:cs="Arial"/>
          <w:szCs w:val="24"/>
        </w:rPr>
        <w:t>The role of the Health Advisory Group is to support the Health Impact Assessment (HIA) process and where appropriate, members of the Health Advisory Group will provide expert technical advice</w:t>
      </w:r>
      <w:bookmarkStart w:id="0" w:name="_GoBack"/>
      <w:bookmarkEnd w:id="0"/>
      <w:r w:rsidRPr="000975B0">
        <w:rPr>
          <w:rFonts w:cs="Arial"/>
          <w:szCs w:val="24"/>
        </w:rPr>
        <w:t xml:space="preserve">.  </w:t>
      </w:r>
    </w:p>
    <w:p w:rsidR="009673C8" w:rsidRPr="000975B0" w:rsidRDefault="009673C8" w:rsidP="009673C8">
      <w:pPr>
        <w:pStyle w:val="NoSpacing"/>
        <w:jc w:val="both"/>
        <w:rPr>
          <w:rFonts w:cs="Arial"/>
          <w:b/>
          <w:szCs w:val="24"/>
        </w:rPr>
      </w:pPr>
    </w:p>
    <w:p w:rsidR="009673C8" w:rsidRPr="000975B0" w:rsidRDefault="009673C8" w:rsidP="009673C8">
      <w:pPr>
        <w:pStyle w:val="NoSpacing"/>
        <w:jc w:val="both"/>
        <w:rPr>
          <w:rFonts w:cs="Arial"/>
          <w:b/>
          <w:szCs w:val="24"/>
        </w:rPr>
      </w:pPr>
      <w:r w:rsidRPr="000975B0">
        <w:rPr>
          <w:rFonts w:cs="Arial"/>
          <w:b/>
          <w:szCs w:val="24"/>
        </w:rPr>
        <w:t>Objectives</w:t>
      </w:r>
    </w:p>
    <w:p w:rsidR="009673C8" w:rsidRPr="000975B0" w:rsidRDefault="009673C8" w:rsidP="009673C8">
      <w:pPr>
        <w:pStyle w:val="NoSpacing"/>
        <w:jc w:val="both"/>
        <w:rPr>
          <w:rFonts w:cs="Arial"/>
          <w:szCs w:val="24"/>
        </w:rPr>
      </w:pPr>
      <w:r w:rsidRPr="000975B0">
        <w:rPr>
          <w:rFonts w:cs="Arial"/>
          <w:szCs w:val="24"/>
        </w:rPr>
        <w:t>A Rapid HIA will be undertaken of the shale gas exploratory stage, specifically to the proposed sites at Roseacre Wood and Preston New Road. This will include:</w:t>
      </w:r>
    </w:p>
    <w:p w:rsidR="009673C8" w:rsidRPr="000975B0" w:rsidRDefault="009673C8" w:rsidP="009673C8">
      <w:pPr>
        <w:numPr>
          <w:ilvl w:val="0"/>
          <w:numId w:val="1"/>
        </w:numPr>
        <w:jc w:val="both"/>
        <w:rPr>
          <w:rFonts w:eastAsia="Calibri"/>
          <w:szCs w:val="24"/>
        </w:rPr>
      </w:pPr>
      <w:r w:rsidRPr="000975B0">
        <w:rPr>
          <w:rFonts w:eastAsia="Calibri"/>
          <w:szCs w:val="24"/>
        </w:rPr>
        <w:t>Establishing and quantifying the potential health impacts.</w:t>
      </w:r>
    </w:p>
    <w:p w:rsidR="009673C8" w:rsidRPr="000975B0" w:rsidRDefault="009673C8" w:rsidP="009673C8">
      <w:pPr>
        <w:numPr>
          <w:ilvl w:val="0"/>
          <w:numId w:val="1"/>
        </w:numPr>
        <w:jc w:val="both"/>
        <w:rPr>
          <w:rFonts w:eastAsia="Calibri"/>
          <w:szCs w:val="24"/>
        </w:rPr>
      </w:pPr>
      <w:r w:rsidRPr="000975B0">
        <w:rPr>
          <w:rFonts w:eastAsia="Calibri"/>
          <w:szCs w:val="24"/>
        </w:rPr>
        <w:t>Identifying the potential distribution of health impacts across different groups in the population.</w:t>
      </w:r>
    </w:p>
    <w:p w:rsidR="009673C8" w:rsidRPr="000975B0" w:rsidRDefault="009673C8" w:rsidP="009673C8">
      <w:pPr>
        <w:numPr>
          <w:ilvl w:val="0"/>
          <w:numId w:val="1"/>
        </w:numPr>
        <w:jc w:val="both"/>
        <w:rPr>
          <w:rFonts w:eastAsia="Calibri"/>
          <w:szCs w:val="24"/>
        </w:rPr>
      </w:pPr>
      <w:r w:rsidRPr="000975B0">
        <w:rPr>
          <w:rFonts w:eastAsia="Calibri"/>
          <w:szCs w:val="24"/>
        </w:rPr>
        <w:t>Making recommendations for action to mitigate negative and maximise positive impacts of the health and wellbeing these residents.</w:t>
      </w:r>
    </w:p>
    <w:p w:rsidR="009673C8" w:rsidRPr="000975B0" w:rsidRDefault="009673C8" w:rsidP="009673C8">
      <w:pPr>
        <w:jc w:val="both"/>
        <w:rPr>
          <w:rFonts w:eastAsia="Calibri"/>
          <w:szCs w:val="24"/>
        </w:rPr>
      </w:pPr>
    </w:p>
    <w:p w:rsidR="009673C8" w:rsidRPr="000975B0" w:rsidRDefault="009673C8" w:rsidP="009673C8">
      <w:pPr>
        <w:jc w:val="both"/>
        <w:rPr>
          <w:rFonts w:eastAsia="Calibri"/>
          <w:szCs w:val="24"/>
        </w:rPr>
      </w:pPr>
      <w:r w:rsidRPr="000975B0">
        <w:rPr>
          <w:rFonts w:eastAsia="Calibri"/>
          <w:szCs w:val="24"/>
        </w:rPr>
        <w:t xml:space="preserve">It is preferred that the Rapid HIA will be completed within a 10 to 12 week period from receipt of the two proposed applications for shale gas exploration.    </w:t>
      </w:r>
    </w:p>
    <w:p w:rsidR="009673C8" w:rsidRPr="000975B0" w:rsidRDefault="009673C8" w:rsidP="009673C8">
      <w:pPr>
        <w:pStyle w:val="NoSpacing"/>
        <w:jc w:val="both"/>
        <w:rPr>
          <w:rFonts w:cs="Arial"/>
          <w:b/>
          <w:szCs w:val="24"/>
        </w:rPr>
      </w:pPr>
    </w:p>
    <w:p w:rsidR="009673C8" w:rsidRPr="000975B0" w:rsidRDefault="009673C8" w:rsidP="009673C8">
      <w:pPr>
        <w:pStyle w:val="NoSpacing"/>
        <w:jc w:val="both"/>
        <w:rPr>
          <w:rFonts w:cs="Arial"/>
          <w:b/>
          <w:szCs w:val="24"/>
        </w:rPr>
      </w:pPr>
      <w:r w:rsidRPr="000975B0">
        <w:rPr>
          <w:rFonts w:cs="Arial"/>
          <w:b/>
          <w:szCs w:val="24"/>
        </w:rPr>
        <w:t xml:space="preserve">Membership </w:t>
      </w:r>
    </w:p>
    <w:p w:rsidR="009673C8" w:rsidRPr="000975B0" w:rsidRDefault="009673C8" w:rsidP="009673C8">
      <w:pPr>
        <w:pStyle w:val="NoSpacing"/>
        <w:jc w:val="both"/>
        <w:rPr>
          <w:rFonts w:cs="Arial"/>
          <w:szCs w:val="24"/>
        </w:rPr>
      </w:pPr>
      <w:r w:rsidRPr="000975B0">
        <w:rPr>
          <w:rFonts w:cs="Arial"/>
          <w:szCs w:val="24"/>
          <w:u w:val="single"/>
        </w:rPr>
        <w:t>Lead</w:t>
      </w:r>
      <w:r w:rsidRPr="000975B0">
        <w:rPr>
          <w:rFonts w:cs="Arial"/>
          <w:szCs w:val="24"/>
        </w:rPr>
        <w:t xml:space="preserve"> </w:t>
      </w:r>
    </w:p>
    <w:p w:rsidR="009673C8" w:rsidRPr="000975B0" w:rsidRDefault="009673C8" w:rsidP="009673C8">
      <w:pPr>
        <w:pStyle w:val="NoSpacing"/>
        <w:jc w:val="both"/>
        <w:rPr>
          <w:rFonts w:cs="Arial"/>
          <w:szCs w:val="24"/>
        </w:rPr>
      </w:pPr>
      <w:r w:rsidRPr="000975B0">
        <w:rPr>
          <w:rFonts w:cs="Arial"/>
          <w:szCs w:val="24"/>
        </w:rPr>
        <w:t>Director of Public Health</w:t>
      </w:r>
    </w:p>
    <w:p w:rsidR="009673C8" w:rsidRPr="000975B0" w:rsidRDefault="009673C8" w:rsidP="009673C8">
      <w:pPr>
        <w:pStyle w:val="NoSpacing"/>
        <w:jc w:val="both"/>
        <w:rPr>
          <w:rFonts w:cs="Arial"/>
          <w:szCs w:val="24"/>
        </w:rPr>
      </w:pPr>
    </w:p>
    <w:p w:rsidR="009673C8" w:rsidRPr="000975B0" w:rsidRDefault="009673C8" w:rsidP="009673C8">
      <w:pPr>
        <w:pStyle w:val="NoSpacing"/>
        <w:jc w:val="both"/>
        <w:rPr>
          <w:rFonts w:cs="Arial"/>
          <w:szCs w:val="24"/>
        </w:rPr>
      </w:pPr>
      <w:r w:rsidRPr="000975B0">
        <w:rPr>
          <w:rFonts w:cs="Arial"/>
          <w:szCs w:val="24"/>
        </w:rPr>
        <w:t xml:space="preserve">The following will provide expert advice to the Director of Public Health, where appropriate: </w:t>
      </w:r>
    </w:p>
    <w:p w:rsidR="009673C8" w:rsidRPr="000975B0" w:rsidRDefault="009673C8" w:rsidP="009673C8">
      <w:pPr>
        <w:pStyle w:val="NoSpacing"/>
        <w:numPr>
          <w:ilvl w:val="0"/>
          <w:numId w:val="3"/>
        </w:numPr>
        <w:jc w:val="both"/>
        <w:rPr>
          <w:rFonts w:cs="Arial"/>
          <w:szCs w:val="24"/>
        </w:rPr>
      </w:pPr>
      <w:r w:rsidRPr="000975B0">
        <w:rPr>
          <w:rFonts w:cs="Arial"/>
          <w:szCs w:val="24"/>
        </w:rPr>
        <w:t>LCC Environmental Technical Expert</w:t>
      </w:r>
    </w:p>
    <w:p w:rsidR="009673C8" w:rsidRPr="000975B0" w:rsidRDefault="009673C8" w:rsidP="009673C8">
      <w:pPr>
        <w:pStyle w:val="NoSpacing"/>
        <w:numPr>
          <w:ilvl w:val="0"/>
          <w:numId w:val="3"/>
        </w:numPr>
        <w:jc w:val="both"/>
        <w:rPr>
          <w:rFonts w:cs="Arial"/>
          <w:szCs w:val="24"/>
        </w:rPr>
      </w:pPr>
      <w:r w:rsidRPr="000975B0">
        <w:rPr>
          <w:rFonts w:cs="Arial"/>
          <w:szCs w:val="24"/>
        </w:rPr>
        <w:t>Public Health England Environmental Scientist</w:t>
      </w:r>
    </w:p>
    <w:p w:rsidR="009673C8" w:rsidRPr="000975B0" w:rsidRDefault="009673C8" w:rsidP="009673C8">
      <w:pPr>
        <w:pStyle w:val="NoSpacing"/>
        <w:numPr>
          <w:ilvl w:val="0"/>
          <w:numId w:val="4"/>
        </w:numPr>
        <w:jc w:val="both"/>
        <w:rPr>
          <w:rFonts w:cs="Arial"/>
          <w:szCs w:val="24"/>
        </w:rPr>
      </w:pPr>
      <w:r w:rsidRPr="000975B0">
        <w:rPr>
          <w:rFonts w:cs="Arial"/>
          <w:szCs w:val="24"/>
        </w:rPr>
        <w:t>HIA Consultant</w:t>
      </w:r>
    </w:p>
    <w:p w:rsidR="009673C8" w:rsidRPr="000975B0" w:rsidRDefault="009673C8" w:rsidP="009673C8">
      <w:pPr>
        <w:pStyle w:val="NoSpacing"/>
        <w:numPr>
          <w:ilvl w:val="0"/>
          <w:numId w:val="4"/>
        </w:numPr>
        <w:jc w:val="both"/>
        <w:rPr>
          <w:rFonts w:cs="Arial"/>
          <w:szCs w:val="24"/>
        </w:rPr>
      </w:pPr>
      <w:r w:rsidRPr="000975B0">
        <w:rPr>
          <w:rFonts w:cs="Arial"/>
          <w:szCs w:val="24"/>
        </w:rPr>
        <w:t>LCC Knowledge and Intelligence</w:t>
      </w:r>
    </w:p>
    <w:p w:rsidR="009673C8" w:rsidRPr="000975B0" w:rsidRDefault="009673C8" w:rsidP="009673C8">
      <w:pPr>
        <w:pStyle w:val="NoSpacing"/>
        <w:numPr>
          <w:ilvl w:val="0"/>
          <w:numId w:val="4"/>
        </w:numPr>
        <w:jc w:val="both"/>
        <w:rPr>
          <w:rFonts w:cs="Arial"/>
          <w:szCs w:val="24"/>
        </w:rPr>
      </w:pPr>
      <w:r w:rsidRPr="000975B0">
        <w:rPr>
          <w:rFonts w:cs="Arial"/>
          <w:szCs w:val="24"/>
        </w:rPr>
        <w:t>Deputy County Secretary and Solicitor</w:t>
      </w:r>
    </w:p>
    <w:p w:rsidR="009673C8" w:rsidRPr="000975B0" w:rsidRDefault="009673C8" w:rsidP="009673C8">
      <w:pPr>
        <w:pStyle w:val="NoSpacing"/>
        <w:numPr>
          <w:ilvl w:val="0"/>
          <w:numId w:val="4"/>
        </w:numPr>
        <w:jc w:val="both"/>
        <w:rPr>
          <w:rFonts w:cs="Arial"/>
          <w:szCs w:val="24"/>
        </w:rPr>
      </w:pPr>
      <w:r w:rsidRPr="000975B0">
        <w:rPr>
          <w:rFonts w:cs="Arial"/>
          <w:szCs w:val="24"/>
        </w:rPr>
        <w:t>Head of Communications</w:t>
      </w:r>
    </w:p>
    <w:p w:rsidR="009673C8" w:rsidRPr="000975B0" w:rsidRDefault="009673C8" w:rsidP="009673C8">
      <w:pPr>
        <w:pStyle w:val="NoSpacing"/>
        <w:numPr>
          <w:ilvl w:val="0"/>
          <w:numId w:val="4"/>
        </w:numPr>
        <w:jc w:val="both"/>
        <w:rPr>
          <w:rFonts w:cs="Arial"/>
          <w:szCs w:val="24"/>
        </w:rPr>
      </w:pPr>
      <w:r w:rsidRPr="000975B0">
        <w:rPr>
          <w:rFonts w:cs="Arial"/>
          <w:szCs w:val="24"/>
        </w:rPr>
        <w:t>Fylde Borough Council</w:t>
      </w:r>
    </w:p>
    <w:p w:rsidR="009673C8" w:rsidRPr="000975B0" w:rsidRDefault="009673C8" w:rsidP="009673C8">
      <w:pPr>
        <w:pStyle w:val="NoSpacing"/>
        <w:jc w:val="both"/>
        <w:rPr>
          <w:rFonts w:cs="Arial"/>
          <w:szCs w:val="24"/>
        </w:rPr>
      </w:pPr>
    </w:p>
    <w:p w:rsidR="009673C8" w:rsidRPr="000975B0" w:rsidRDefault="009673C8" w:rsidP="009673C8">
      <w:pPr>
        <w:pStyle w:val="NoSpacing"/>
        <w:jc w:val="both"/>
        <w:rPr>
          <w:rFonts w:cs="Arial"/>
          <w:b/>
          <w:szCs w:val="24"/>
        </w:rPr>
      </w:pPr>
      <w:r w:rsidRPr="000975B0">
        <w:rPr>
          <w:rFonts w:cs="Arial"/>
          <w:b/>
          <w:szCs w:val="24"/>
        </w:rPr>
        <w:t xml:space="preserve">Stakeholders </w:t>
      </w:r>
    </w:p>
    <w:p w:rsidR="009673C8" w:rsidRPr="000975B0" w:rsidRDefault="009673C8" w:rsidP="009673C8">
      <w:pPr>
        <w:pStyle w:val="NoSpacing"/>
        <w:jc w:val="both"/>
        <w:rPr>
          <w:rFonts w:cs="Arial"/>
          <w:szCs w:val="24"/>
        </w:rPr>
      </w:pPr>
      <w:r w:rsidRPr="000975B0">
        <w:rPr>
          <w:rFonts w:cs="Arial"/>
          <w:szCs w:val="24"/>
        </w:rPr>
        <w:t xml:space="preserve">The following representatives will be asked to submit written evidence and/or attend a Health Advisory Group meeting to provide expert advice to the Director of Public Health: </w:t>
      </w:r>
    </w:p>
    <w:p w:rsidR="009673C8" w:rsidRPr="000975B0" w:rsidRDefault="009673C8" w:rsidP="009673C8">
      <w:pPr>
        <w:pStyle w:val="NoSpacing"/>
        <w:numPr>
          <w:ilvl w:val="0"/>
          <w:numId w:val="2"/>
        </w:numPr>
        <w:jc w:val="both"/>
        <w:rPr>
          <w:rFonts w:cs="Arial"/>
          <w:szCs w:val="24"/>
        </w:rPr>
      </w:pPr>
      <w:r w:rsidRPr="000975B0">
        <w:rPr>
          <w:rFonts w:cs="Arial"/>
          <w:szCs w:val="24"/>
        </w:rPr>
        <w:t xml:space="preserve">Regulators (Environment agency, Department of Energy and Climate Change, Health and Safety Executive, Lancashire County Council Planning, Environmental Health – Fylde Borough Council) </w:t>
      </w:r>
    </w:p>
    <w:p w:rsidR="009673C8" w:rsidRPr="000975B0" w:rsidRDefault="009673C8" w:rsidP="009673C8">
      <w:pPr>
        <w:pStyle w:val="NoSpacing"/>
        <w:numPr>
          <w:ilvl w:val="0"/>
          <w:numId w:val="2"/>
        </w:numPr>
        <w:jc w:val="both"/>
        <w:rPr>
          <w:rFonts w:cs="Arial"/>
          <w:szCs w:val="24"/>
        </w:rPr>
      </w:pPr>
      <w:r w:rsidRPr="000975B0">
        <w:rPr>
          <w:rFonts w:cs="Arial"/>
          <w:szCs w:val="24"/>
        </w:rPr>
        <w:t xml:space="preserve">Industry Sector </w:t>
      </w:r>
    </w:p>
    <w:p w:rsidR="009673C8" w:rsidRPr="000975B0" w:rsidRDefault="009673C8" w:rsidP="009673C8">
      <w:pPr>
        <w:pStyle w:val="NoSpacing"/>
        <w:numPr>
          <w:ilvl w:val="0"/>
          <w:numId w:val="2"/>
        </w:numPr>
        <w:jc w:val="both"/>
        <w:rPr>
          <w:rFonts w:cs="Arial"/>
          <w:szCs w:val="24"/>
        </w:rPr>
      </w:pPr>
      <w:r w:rsidRPr="000975B0">
        <w:rPr>
          <w:rFonts w:cs="Arial"/>
          <w:szCs w:val="24"/>
        </w:rPr>
        <w:t>Academics</w:t>
      </w:r>
    </w:p>
    <w:p w:rsidR="009673C8" w:rsidRPr="000975B0" w:rsidRDefault="009673C8" w:rsidP="009673C8">
      <w:pPr>
        <w:pStyle w:val="NoSpacing"/>
        <w:jc w:val="both"/>
        <w:rPr>
          <w:rFonts w:cs="Arial"/>
          <w:b/>
          <w:szCs w:val="24"/>
        </w:rPr>
      </w:pPr>
    </w:p>
    <w:p w:rsidR="009673C8" w:rsidRPr="000975B0" w:rsidRDefault="009673C8" w:rsidP="009673C8">
      <w:pPr>
        <w:pStyle w:val="NoSpacing"/>
        <w:jc w:val="both"/>
        <w:rPr>
          <w:rFonts w:cs="Arial"/>
          <w:b/>
          <w:szCs w:val="24"/>
        </w:rPr>
      </w:pPr>
      <w:r w:rsidRPr="000975B0">
        <w:rPr>
          <w:rFonts w:cs="Arial"/>
          <w:b/>
          <w:szCs w:val="24"/>
        </w:rPr>
        <w:t>Community engagement</w:t>
      </w:r>
    </w:p>
    <w:p w:rsidR="00AA51D9" w:rsidRPr="009673C8" w:rsidRDefault="009673C8" w:rsidP="009673C8">
      <w:pPr>
        <w:pStyle w:val="NoSpacing"/>
        <w:jc w:val="both"/>
        <w:rPr>
          <w:rFonts w:cs="Arial"/>
          <w:szCs w:val="24"/>
        </w:rPr>
      </w:pPr>
      <w:r w:rsidRPr="000975B0">
        <w:rPr>
          <w:rFonts w:cs="Arial"/>
          <w:szCs w:val="24"/>
        </w:rPr>
        <w:t xml:space="preserve">Existing mechanisms will be used to engage with local residents living in the two areas and Parish, District and County Councillors representing the two areas of the proposed sites for shale gas exploration. This is to inform them about the process of undertaking the HIA and to understand their concerns regarding the health impacts of shale gas exploration. </w:t>
      </w:r>
    </w:p>
    <w:sectPr w:rsidR="00AA51D9" w:rsidRPr="00967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2A89"/>
    <w:multiLevelType w:val="hybridMultilevel"/>
    <w:tmpl w:val="06DC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72CDC"/>
    <w:multiLevelType w:val="hybridMultilevel"/>
    <w:tmpl w:val="71E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DC268B"/>
    <w:multiLevelType w:val="hybridMultilevel"/>
    <w:tmpl w:val="B22E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6A5770"/>
    <w:multiLevelType w:val="hybridMultilevel"/>
    <w:tmpl w:val="3292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C8"/>
    <w:rsid w:val="00846AAF"/>
    <w:rsid w:val="00941636"/>
    <w:rsid w:val="009673C8"/>
    <w:rsid w:val="00AA51D9"/>
    <w:rsid w:val="00D25DBB"/>
    <w:rsid w:val="00E9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B95F9-7113-48EF-A814-AA30CF1B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3C8"/>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3C8"/>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Sangita</dc:creator>
  <cp:keywords/>
  <dc:description/>
  <cp:lastModifiedBy>Evenson, Maya</cp:lastModifiedBy>
  <cp:revision>4</cp:revision>
  <dcterms:created xsi:type="dcterms:W3CDTF">2014-10-22T08:45:00Z</dcterms:created>
  <dcterms:modified xsi:type="dcterms:W3CDTF">2014-10-27T09:42:00Z</dcterms:modified>
</cp:coreProperties>
</file>